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23" w:rsidRDefault="001E0F7C">
      <w:pPr>
        <w:autoSpaceDN w:val="0"/>
        <w:spacing w:line="400" w:lineRule="exact"/>
        <w:jc w:val="center"/>
        <w:rPr>
          <w:sz w:val="36"/>
          <w:szCs w:val="36"/>
        </w:rPr>
      </w:pPr>
      <w:r w:rsidRPr="00F4788E">
        <w:rPr>
          <w:rFonts w:eastAsia="方正小标宋简体" w:hint="eastAsia"/>
          <w:kern w:val="0"/>
          <w:sz w:val="36"/>
          <w:szCs w:val="36"/>
        </w:rPr>
        <w:t>肇庆学院</w:t>
      </w:r>
      <w:r>
        <w:rPr>
          <w:rFonts w:eastAsia="方正小标宋简体"/>
          <w:kern w:val="0"/>
          <w:sz w:val="36"/>
          <w:szCs w:val="36"/>
        </w:rPr>
        <w:t>收费</w:t>
      </w:r>
      <w:r w:rsidR="00F4788E">
        <w:rPr>
          <w:rFonts w:eastAsia="方正小标宋简体" w:hint="eastAsia"/>
          <w:kern w:val="0"/>
          <w:sz w:val="36"/>
          <w:szCs w:val="36"/>
        </w:rPr>
        <w:t>公示</w:t>
      </w:r>
      <w:r w:rsidR="00A66F6D">
        <w:rPr>
          <w:rFonts w:eastAsia="方正小标宋简体" w:hint="eastAsia"/>
          <w:kern w:val="0"/>
          <w:sz w:val="36"/>
          <w:szCs w:val="36"/>
        </w:rPr>
        <w:t>-</w:t>
      </w:r>
      <w:r w:rsidR="00237B2C">
        <w:rPr>
          <w:rFonts w:eastAsia="方正小标宋简体" w:hint="eastAsia"/>
          <w:kern w:val="0"/>
          <w:sz w:val="36"/>
          <w:szCs w:val="36"/>
        </w:rPr>
        <w:t>学费</w:t>
      </w:r>
      <w:bookmarkStart w:id="0" w:name="_GoBack"/>
      <w:bookmarkEnd w:id="0"/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3"/>
        <w:gridCol w:w="1795"/>
      </w:tblGrid>
      <w:tr w:rsidR="001E4F7E" w:rsidTr="00370872">
        <w:trPr>
          <w:trHeight w:hRule="exact" w:val="729"/>
        </w:trPr>
        <w:tc>
          <w:tcPr>
            <w:tcW w:w="3510" w:type="dxa"/>
            <w:vAlign w:val="center"/>
          </w:tcPr>
          <w:p w:rsidR="001E4F7E" w:rsidRDefault="001E4F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收费项目</w:t>
            </w:r>
          </w:p>
        </w:tc>
        <w:tc>
          <w:tcPr>
            <w:tcW w:w="3403" w:type="dxa"/>
            <w:vAlign w:val="center"/>
          </w:tcPr>
          <w:p w:rsidR="001E4F7E" w:rsidRDefault="001E4F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  <w:p w:rsidR="001E4F7E" w:rsidRDefault="001E4F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1E4F7E" w:rsidRDefault="001E4F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收费依据</w:t>
            </w:r>
          </w:p>
        </w:tc>
      </w:tr>
      <w:tr w:rsidR="001E4F7E" w:rsidTr="00370872">
        <w:trPr>
          <w:trHeight w:hRule="exact" w:val="510"/>
        </w:trPr>
        <w:tc>
          <w:tcPr>
            <w:tcW w:w="8708" w:type="dxa"/>
            <w:gridSpan w:val="3"/>
            <w:vAlign w:val="center"/>
          </w:tcPr>
          <w:p w:rsidR="001E4F7E" w:rsidRDefault="001E4F7E" w:rsidP="00370872">
            <w:pPr>
              <w:rPr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一、普通高校学费</w:t>
            </w:r>
          </w:p>
        </w:tc>
      </w:tr>
      <w:tr w:rsidR="001E4F7E" w:rsidRPr="00A205C2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Pr="00A84878" w:rsidRDefault="001E4F7E" w:rsidP="00406E63">
            <w:pPr>
              <w:pStyle w:val="a9"/>
              <w:numPr>
                <w:ilvl w:val="0"/>
                <w:numId w:val="7"/>
              </w:num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学年制学费标准</w:t>
            </w:r>
          </w:p>
        </w:tc>
        <w:tc>
          <w:tcPr>
            <w:tcW w:w="3403" w:type="dxa"/>
            <w:vAlign w:val="center"/>
          </w:tcPr>
          <w:p w:rsidR="001E4F7E" w:rsidRPr="006542B5" w:rsidRDefault="001E4F7E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795" w:type="dxa"/>
            <w:vAlign w:val="center"/>
          </w:tcPr>
          <w:p w:rsidR="001E4F7E" w:rsidRPr="006542B5" w:rsidRDefault="001E4F7E">
            <w:pPr>
              <w:jc w:val="center"/>
              <w:rPr>
                <w:szCs w:val="21"/>
                <w:highlight w:val="yellow"/>
              </w:rPr>
            </w:pPr>
          </w:p>
        </w:tc>
      </w:tr>
      <w:tr w:rsidR="001E4F7E" w:rsidTr="00370872">
        <w:trPr>
          <w:trHeight w:hRule="exact" w:val="668"/>
        </w:trPr>
        <w:tc>
          <w:tcPr>
            <w:tcW w:w="3510" w:type="dxa"/>
            <w:vAlign w:val="center"/>
          </w:tcPr>
          <w:p w:rsidR="001E4F7E" w:rsidRDefault="00542D58" w:rsidP="006E6315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1E4F7E">
              <w:rPr>
                <w:rFonts w:hint="eastAsia"/>
                <w:szCs w:val="21"/>
              </w:rPr>
              <w:t>文科类（本科）</w:t>
            </w:r>
          </w:p>
        </w:tc>
        <w:tc>
          <w:tcPr>
            <w:tcW w:w="3403" w:type="dxa"/>
            <w:vAlign w:val="center"/>
          </w:tcPr>
          <w:p w:rsidR="001E4F7E" w:rsidRDefault="001E4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Align w:val="center"/>
          </w:tcPr>
          <w:p w:rsidR="001E4F7E" w:rsidRPr="005564D4" w:rsidRDefault="001E4F7E">
            <w:pPr>
              <w:jc w:val="center"/>
              <w:rPr>
                <w:szCs w:val="21"/>
              </w:rPr>
            </w:pPr>
            <w:r w:rsidRPr="005564D4">
              <w:rPr>
                <w:rFonts w:hint="eastAsia"/>
                <w:szCs w:val="21"/>
              </w:rPr>
              <w:t>粤</w:t>
            </w:r>
            <w:proofErr w:type="gramStart"/>
            <w:r w:rsidRPr="005564D4">
              <w:rPr>
                <w:rFonts w:hint="eastAsia"/>
                <w:szCs w:val="21"/>
              </w:rPr>
              <w:t>发改价格</w:t>
            </w:r>
            <w:proofErr w:type="gramEnd"/>
            <w:r w:rsidRPr="005564D4">
              <w:rPr>
                <w:rFonts w:hint="eastAsia"/>
                <w:szCs w:val="21"/>
              </w:rPr>
              <w:t>[2016]367</w:t>
            </w:r>
            <w:r w:rsidRPr="005564D4">
              <w:rPr>
                <w:rFonts w:hint="eastAsia"/>
                <w:szCs w:val="21"/>
              </w:rPr>
              <w:t>号</w:t>
            </w:r>
          </w:p>
        </w:tc>
      </w:tr>
      <w:tr w:rsidR="001E4F7E" w:rsidTr="00A535B0">
        <w:trPr>
          <w:trHeight w:hRule="exact" w:val="730"/>
        </w:trPr>
        <w:tc>
          <w:tcPr>
            <w:tcW w:w="3510" w:type="dxa"/>
            <w:vAlign w:val="center"/>
          </w:tcPr>
          <w:p w:rsidR="001E4F7E" w:rsidRDefault="00542D58" w:rsidP="00237B2C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理工外语体育类</w:t>
            </w:r>
            <w:r w:rsidR="001E4F7E">
              <w:rPr>
                <w:rFonts w:hint="eastAsia"/>
                <w:szCs w:val="21"/>
              </w:rPr>
              <w:t>-</w:t>
            </w:r>
            <w:r w:rsidR="001E4F7E" w:rsidRPr="00461526">
              <w:rPr>
                <w:rFonts w:asciiTheme="minorEastAsia" w:eastAsiaTheme="minorEastAsia" w:hAnsiTheme="minorEastAsia" w:hint="eastAsia"/>
                <w:szCs w:val="21"/>
              </w:rPr>
              <w:t>示范性软件学院</w:t>
            </w:r>
          </w:p>
        </w:tc>
        <w:tc>
          <w:tcPr>
            <w:tcW w:w="3403" w:type="dxa"/>
            <w:vAlign w:val="center"/>
          </w:tcPr>
          <w:p w:rsidR="001E4F7E" w:rsidRPr="00461526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  <w:r w:rsidRPr="00461526"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Align w:val="center"/>
          </w:tcPr>
          <w:p w:rsidR="00A535B0" w:rsidRDefault="001E4F7E" w:rsidP="00183797">
            <w:pPr>
              <w:jc w:val="center"/>
              <w:rPr>
                <w:szCs w:val="21"/>
              </w:rPr>
            </w:pPr>
            <w:r w:rsidRPr="005564D4">
              <w:rPr>
                <w:rFonts w:hint="eastAsia"/>
                <w:szCs w:val="21"/>
              </w:rPr>
              <w:t>粤价</w:t>
            </w:r>
          </w:p>
          <w:p w:rsidR="001E4F7E" w:rsidRPr="005564D4" w:rsidRDefault="001E4F7E" w:rsidP="00183797">
            <w:pPr>
              <w:jc w:val="center"/>
              <w:rPr>
                <w:szCs w:val="21"/>
              </w:rPr>
            </w:pPr>
            <w:r w:rsidRPr="005564D4">
              <w:rPr>
                <w:rFonts w:hint="eastAsia"/>
                <w:szCs w:val="21"/>
              </w:rPr>
              <w:t>[2004]317</w:t>
            </w:r>
            <w:r w:rsidRPr="005564D4">
              <w:rPr>
                <w:rFonts w:hint="eastAsia"/>
                <w:szCs w:val="21"/>
              </w:rPr>
              <w:t>号</w:t>
            </w: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237B2C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理工外语体育类</w:t>
            </w:r>
            <w:r w:rsidR="001E4F7E">
              <w:rPr>
                <w:rFonts w:hint="eastAsia"/>
                <w:szCs w:val="21"/>
              </w:rPr>
              <w:t>-</w:t>
            </w:r>
            <w:r w:rsidR="001E4F7E">
              <w:rPr>
                <w:rFonts w:hint="eastAsia"/>
                <w:szCs w:val="21"/>
              </w:rPr>
              <w:t>农学类专业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  <w:r w:rsidR="009A1A13">
              <w:rPr>
                <w:szCs w:val="21"/>
              </w:rPr>
              <w:t>6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 w:val="restart"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  <w:r w:rsidRPr="005564D4">
              <w:rPr>
                <w:rFonts w:hint="eastAsia"/>
                <w:szCs w:val="21"/>
              </w:rPr>
              <w:t>粤</w:t>
            </w:r>
            <w:proofErr w:type="gramStart"/>
            <w:r w:rsidRPr="005564D4">
              <w:rPr>
                <w:rFonts w:hint="eastAsia"/>
                <w:szCs w:val="21"/>
              </w:rPr>
              <w:t>发改价格</w:t>
            </w:r>
            <w:proofErr w:type="gramEnd"/>
            <w:r w:rsidRPr="005564D4">
              <w:rPr>
                <w:rFonts w:hint="eastAsia"/>
                <w:szCs w:val="21"/>
              </w:rPr>
              <w:t>[2016]367</w:t>
            </w:r>
            <w:r w:rsidRPr="005564D4">
              <w:rPr>
                <w:rFonts w:hint="eastAsia"/>
                <w:szCs w:val="21"/>
              </w:rPr>
              <w:t>号</w:t>
            </w:r>
          </w:p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406E6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 w:val="21"/>
                <w:szCs w:val="21"/>
              </w:rPr>
              <w:t>理工外语体育类</w:t>
            </w:r>
            <w:r w:rsidR="001E4F7E">
              <w:rPr>
                <w:rFonts w:hint="eastAsia"/>
                <w:sz w:val="21"/>
                <w:szCs w:val="21"/>
              </w:rPr>
              <w:t>-</w:t>
            </w:r>
            <w:r w:rsidR="001E4F7E"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710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183797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医学类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380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183797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艺术类专业</w:t>
            </w:r>
            <w:r w:rsidR="001E4F7E">
              <w:rPr>
                <w:szCs w:val="21"/>
              </w:rPr>
              <w:t>-</w:t>
            </w:r>
            <w:r w:rsidR="001E4F7E">
              <w:rPr>
                <w:rFonts w:hint="eastAsia"/>
                <w:szCs w:val="21"/>
              </w:rPr>
              <w:t>非理论类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Pr="00461526" w:rsidRDefault="00542D58" w:rsidP="0018379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艺术类专业</w:t>
            </w:r>
            <w:r w:rsidR="001E4F7E">
              <w:rPr>
                <w:szCs w:val="21"/>
              </w:rPr>
              <w:t>-</w:t>
            </w:r>
            <w:r w:rsidR="001E4F7E">
              <w:rPr>
                <w:rFonts w:hint="eastAsia"/>
                <w:szCs w:val="21"/>
              </w:rPr>
              <w:t>理论类</w:t>
            </w:r>
          </w:p>
        </w:tc>
        <w:tc>
          <w:tcPr>
            <w:tcW w:w="3403" w:type="dxa"/>
            <w:vAlign w:val="center"/>
          </w:tcPr>
          <w:p w:rsidR="001E4F7E" w:rsidRPr="00461526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183797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专科专业</w:t>
            </w:r>
            <w:r w:rsidR="001E4F7E">
              <w:rPr>
                <w:rFonts w:hint="eastAsia"/>
                <w:szCs w:val="21"/>
              </w:rPr>
              <w:t>-</w:t>
            </w:r>
            <w:r w:rsidR="001E4F7E">
              <w:rPr>
                <w:rFonts w:hint="eastAsia"/>
                <w:szCs w:val="21"/>
              </w:rPr>
              <w:t>文科类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250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vAlign w:val="center"/>
          </w:tcPr>
          <w:p w:rsidR="001E4F7E" w:rsidRDefault="00542D58" w:rsidP="00183797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>
              <w:rPr>
                <w:rFonts w:hint="eastAsia"/>
                <w:szCs w:val="21"/>
              </w:rPr>
              <w:t>专科专业</w:t>
            </w:r>
            <w:r w:rsidR="001E4F7E">
              <w:rPr>
                <w:rFonts w:hint="eastAsia"/>
                <w:szCs w:val="21"/>
              </w:rPr>
              <w:t>-</w:t>
            </w:r>
            <w:r w:rsidR="001E4F7E">
              <w:rPr>
                <w:rFonts w:hint="eastAsia"/>
                <w:szCs w:val="21"/>
              </w:rPr>
              <w:t>其他</w:t>
            </w:r>
          </w:p>
        </w:tc>
        <w:tc>
          <w:tcPr>
            <w:tcW w:w="3403" w:type="dxa"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410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Pr="005564D4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5D5A76">
        <w:trPr>
          <w:trHeight w:hRule="exact" w:val="104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Pr="001E4F7E" w:rsidRDefault="001E4F7E" w:rsidP="00183797">
            <w:pPr>
              <w:pStyle w:val="a9"/>
              <w:ind w:firstLineChars="0" w:firstLine="0"/>
              <w:jc w:val="left"/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（二）学分制学费标准</w:t>
            </w:r>
          </w:p>
          <w:p w:rsidR="001E4F7E" w:rsidRPr="001E4F7E" w:rsidRDefault="001E4F7E" w:rsidP="00183797">
            <w:pPr>
              <w:pStyle w:val="a9"/>
              <w:ind w:firstLineChars="0" w:firstLine="0"/>
              <w:jc w:val="left"/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（</w:t>
            </w:r>
            <w:r w:rsidRPr="001E4F7E">
              <w:rPr>
                <w:rFonts w:hint="eastAsia"/>
                <w:szCs w:val="21"/>
              </w:rPr>
              <w:t>2019</w:t>
            </w:r>
            <w:r w:rsidRPr="001E4F7E">
              <w:rPr>
                <w:rFonts w:hint="eastAsia"/>
                <w:szCs w:val="21"/>
              </w:rPr>
              <w:t>级开始施行学分制收费</w:t>
            </w:r>
            <w:r w:rsidR="00884CBC">
              <w:rPr>
                <w:rFonts w:hint="eastAsia"/>
                <w:szCs w:val="21"/>
              </w:rPr>
              <w:t>制度</w:t>
            </w:r>
            <w:r w:rsidRPr="001E4F7E">
              <w:rPr>
                <w:rFonts w:hint="eastAsia"/>
                <w:szCs w:val="21"/>
              </w:rPr>
              <w:t>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Pr="001E4F7E" w:rsidRDefault="00AB25ED" w:rsidP="005D5A76">
            <w:pPr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按培养计划正常完成学业所缴纳的学分学费和专业学费之</w:t>
            </w:r>
            <w:r>
              <w:rPr>
                <w:rFonts w:hint="eastAsia"/>
                <w:szCs w:val="21"/>
              </w:rPr>
              <w:t>和</w:t>
            </w:r>
            <w:r w:rsidRPr="001E4F7E">
              <w:rPr>
                <w:rFonts w:hint="eastAsia"/>
                <w:szCs w:val="21"/>
              </w:rPr>
              <w:t>不高于按学年制收费的学费总额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4F7E" w:rsidRPr="00461526" w:rsidRDefault="001E4F7E" w:rsidP="00183797">
            <w:pPr>
              <w:jc w:val="center"/>
              <w:rPr>
                <w:szCs w:val="21"/>
                <w:highlight w:val="yellow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Pr="001E4F7E" w:rsidRDefault="00D70BBB" w:rsidP="00183797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 w:rsidRPr="001E4F7E">
              <w:rPr>
                <w:rFonts w:hint="eastAsia"/>
                <w:szCs w:val="21"/>
              </w:rPr>
              <w:t>学分学费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Pr="001E4F7E" w:rsidRDefault="001E4F7E" w:rsidP="00183797">
            <w:pPr>
              <w:jc w:val="center"/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1</w:t>
            </w:r>
            <w:r w:rsidRPr="001E4F7E">
              <w:rPr>
                <w:szCs w:val="21"/>
              </w:rPr>
              <w:t>00</w:t>
            </w:r>
            <w:r w:rsidRPr="001E4F7E">
              <w:rPr>
                <w:rFonts w:hint="eastAsia"/>
                <w:szCs w:val="21"/>
              </w:rPr>
              <w:t>元</w:t>
            </w:r>
            <w:r w:rsidRPr="001E4F7E">
              <w:rPr>
                <w:rFonts w:hint="eastAsia"/>
                <w:szCs w:val="21"/>
              </w:rPr>
              <w:t>/</w:t>
            </w:r>
            <w:r w:rsidRPr="001E4F7E">
              <w:rPr>
                <w:rFonts w:hint="eastAsia"/>
                <w:szCs w:val="21"/>
              </w:rPr>
              <w:t>学分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1E4F7E" w:rsidRPr="001E4F7E" w:rsidRDefault="001E4F7E" w:rsidP="00183797">
            <w:pPr>
              <w:jc w:val="center"/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粤发改</w:t>
            </w:r>
            <w:proofErr w:type="gramStart"/>
            <w:r w:rsidRPr="001E4F7E">
              <w:rPr>
                <w:rFonts w:hint="eastAsia"/>
                <w:szCs w:val="21"/>
              </w:rPr>
              <w:t>规</w:t>
            </w:r>
            <w:proofErr w:type="gramEnd"/>
            <w:r w:rsidR="00A6618B">
              <w:rPr>
                <w:rFonts w:hint="eastAsia"/>
                <w:szCs w:val="21"/>
              </w:rPr>
              <w:t>[</w:t>
            </w:r>
            <w:r w:rsidRPr="001E4F7E">
              <w:rPr>
                <w:rFonts w:hint="eastAsia"/>
                <w:szCs w:val="21"/>
              </w:rPr>
              <w:t>20</w:t>
            </w:r>
            <w:r w:rsidRPr="001E4F7E">
              <w:rPr>
                <w:szCs w:val="21"/>
              </w:rPr>
              <w:t>21</w:t>
            </w:r>
            <w:r w:rsidR="00A6618B">
              <w:rPr>
                <w:rFonts w:hint="eastAsia"/>
                <w:szCs w:val="21"/>
              </w:rPr>
              <w:t>]</w:t>
            </w:r>
            <w:r w:rsidRPr="001E4F7E">
              <w:rPr>
                <w:szCs w:val="21"/>
              </w:rPr>
              <w:t>10</w:t>
            </w:r>
            <w:r w:rsidRPr="001E4F7E">
              <w:rPr>
                <w:rFonts w:hint="eastAsia"/>
                <w:szCs w:val="21"/>
              </w:rPr>
              <w:t>号</w:t>
            </w:r>
          </w:p>
        </w:tc>
      </w:tr>
      <w:tr w:rsidR="001E4F7E" w:rsidTr="00EB587A">
        <w:trPr>
          <w:trHeight w:hRule="exact" w:val="485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Pr="001E4F7E" w:rsidRDefault="00D70BBB" w:rsidP="00183797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E4F7E" w:rsidRPr="001E4F7E">
              <w:rPr>
                <w:rFonts w:hint="eastAsia"/>
                <w:szCs w:val="21"/>
              </w:rPr>
              <w:t>专业学费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Pr="001E4F7E" w:rsidRDefault="001E4F7E" w:rsidP="00183797">
            <w:pPr>
              <w:jc w:val="center"/>
              <w:rPr>
                <w:szCs w:val="21"/>
              </w:rPr>
            </w:pPr>
            <w:r w:rsidRPr="001E4F7E">
              <w:rPr>
                <w:rFonts w:hint="eastAsia"/>
                <w:szCs w:val="21"/>
              </w:rPr>
              <w:t>按规定的专业学年收费标准换算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F7E" w:rsidRPr="00461526" w:rsidRDefault="001E4F7E" w:rsidP="00183797">
            <w:pPr>
              <w:jc w:val="center"/>
              <w:rPr>
                <w:szCs w:val="21"/>
                <w:highlight w:val="yellow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8708" w:type="dxa"/>
            <w:gridSpan w:val="3"/>
            <w:tcBorders>
              <w:bottom w:val="single" w:sz="4" w:space="0" w:color="auto"/>
            </w:tcBorders>
            <w:vAlign w:val="center"/>
          </w:tcPr>
          <w:p w:rsidR="001E4F7E" w:rsidRDefault="001E4F7E" w:rsidP="00370872">
            <w:pPr>
              <w:rPr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二、成人高校学费</w:t>
            </w:r>
            <w:r w:rsidR="00542D58">
              <w:rPr>
                <w:rFonts w:ascii="黑体" w:eastAsia="黑体" w:hAnsi="黑体" w:hint="eastAsia"/>
                <w:b/>
                <w:szCs w:val="21"/>
              </w:rPr>
              <w:t>（业余）</w:t>
            </w: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1.文史、财经、管理类（本科）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</w:t>
            </w:r>
          </w:p>
        </w:tc>
        <w:tc>
          <w:tcPr>
            <w:tcW w:w="1795" w:type="dxa"/>
            <w:vMerge w:val="restart"/>
            <w:vAlign w:val="center"/>
          </w:tcPr>
          <w:p w:rsidR="00370872" w:rsidRDefault="001E4F7E" w:rsidP="00183797">
            <w:pPr>
              <w:jc w:val="center"/>
              <w:rPr>
                <w:szCs w:val="21"/>
              </w:rPr>
            </w:pPr>
            <w:r w:rsidRPr="005564D4"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E4F7E" w:rsidTr="00370872">
        <w:trPr>
          <w:trHeight w:hRule="exact" w:val="688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2.理工、农林、地矿、</w:t>
            </w:r>
            <w:r w:rsidR="00542D58">
              <w:rPr>
                <w:rFonts w:ascii="宋体" w:hAnsi="宋体" w:hint="eastAsia"/>
                <w:sz w:val="21"/>
                <w:szCs w:val="21"/>
              </w:rPr>
              <w:t>外语、</w:t>
            </w:r>
            <w:r>
              <w:rPr>
                <w:rFonts w:ascii="宋体" w:hAnsi="宋体" w:hint="eastAsia"/>
                <w:sz w:val="21"/>
                <w:szCs w:val="21"/>
              </w:rPr>
              <w:t>体育类（本科）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2875元</w:t>
            </w:r>
          </w:p>
        </w:tc>
        <w:tc>
          <w:tcPr>
            <w:tcW w:w="1795" w:type="dxa"/>
            <w:vMerge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3.文史、财经、管理类（专科）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2300元</w:t>
            </w:r>
          </w:p>
        </w:tc>
        <w:tc>
          <w:tcPr>
            <w:tcW w:w="1795" w:type="dxa"/>
            <w:vMerge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762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4.理工、农林、地矿、</w:t>
            </w:r>
            <w:r w:rsidR="00542D58">
              <w:rPr>
                <w:rFonts w:ascii="宋体" w:hAnsi="宋体" w:hint="eastAsia"/>
                <w:sz w:val="21"/>
                <w:szCs w:val="21"/>
              </w:rPr>
              <w:t>外语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 w:rsidR="00542D58">
              <w:rPr>
                <w:rFonts w:ascii="宋体" w:hAnsi="宋体" w:hint="eastAsia"/>
                <w:sz w:val="21"/>
                <w:szCs w:val="21"/>
              </w:rPr>
              <w:t>体育</w:t>
            </w:r>
            <w:r>
              <w:rPr>
                <w:rFonts w:ascii="宋体" w:hAnsi="宋体" w:hint="eastAsia"/>
                <w:sz w:val="21"/>
                <w:szCs w:val="21"/>
              </w:rPr>
              <w:t>类（专科）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2645元</w:t>
            </w:r>
          </w:p>
        </w:tc>
        <w:tc>
          <w:tcPr>
            <w:tcW w:w="1795" w:type="dxa"/>
            <w:vMerge/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艺术类（本科）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pStyle w:val="a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vAlign w:val="center"/>
          </w:tcPr>
          <w:p w:rsidR="001E4F7E" w:rsidRDefault="001E4F7E" w:rsidP="00183797">
            <w:pPr>
              <w:jc w:val="center"/>
              <w:rPr>
                <w:b/>
                <w:szCs w:val="21"/>
              </w:rPr>
            </w:pPr>
          </w:p>
        </w:tc>
      </w:tr>
      <w:tr w:rsidR="001E4F7E" w:rsidTr="00370872">
        <w:trPr>
          <w:trHeight w:hRule="exact" w:val="51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E4F7E" w:rsidRDefault="001E4F7E" w:rsidP="00D70B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艺术类（专科）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1E4F7E" w:rsidRDefault="001E4F7E" w:rsidP="00183797">
            <w:pPr>
              <w:jc w:val="center"/>
              <w:rPr>
                <w:szCs w:val="21"/>
              </w:rPr>
            </w:pPr>
          </w:p>
        </w:tc>
      </w:tr>
    </w:tbl>
    <w:p w:rsidR="00E32A23" w:rsidRDefault="00E32A23" w:rsidP="00370872">
      <w:pPr>
        <w:autoSpaceDN w:val="0"/>
        <w:spacing w:line="400" w:lineRule="exact"/>
        <w:jc w:val="left"/>
      </w:pPr>
    </w:p>
    <w:sectPr w:rsidR="00E32A23" w:rsidSect="00E32A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B1" w:rsidRDefault="00596DB1" w:rsidP="004E70F5">
      <w:r>
        <w:separator/>
      </w:r>
    </w:p>
  </w:endnote>
  <w:endnote w:type="continuationSeparator" w:id="0">
    <w:p w:rsidR="00596DB1" w:rsidRDefault="00596DB1" w:rsidP="004E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B1" w:rsidRDefault="00596DB1" w:rsidP="004E70F5">
      <w:r>
        <w:separator/>
      </w:r>
    </w:p>
  </w:footnote>
  <w:footnote w:type="continuationSeparator" w:id="0">
    <w:p w:rsidR="00596DB1" w:rsidRDefault="00596DB1" w:rsidP="004E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92"/>
    <w:multiLevelType w:val="multilevel"/>
    <w:tmpl w:val="188130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7380E"/>
    <w:multiLevelType w:val="hybridMultilevel"/>
    <w:tmpl w:val="D1B0EFB6"/>
    <w:lvl w:ilvl="0" w:tplc="94F2A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031E90"/>
    <w:multiLevelType w:val="multilevel"/>
    <w:tmpl w:val="43031E90"/>
    <w:lvl w:ilvl="0">
      <w:start w:val="1"/>
      <w:numFmt w:val="ideograph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668132FF"/>
    <w:multiLevelType w:val="multilevel"/>
    <w:tmpl w:val="668132FF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66C153EF"/>
    <w:multiLevelType w:val="multilevel"/>
    <w:tmpl w:val="66C153E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FD4B03"/>
    <w:multiLevelType w:val="hybridMultilevel"/>
    <w:tmpl w:val="65F28A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77E21"/>
    <w:multiLevelType w:val="multilevel"/>
    <w:tmpl w:val="7FF77E21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E1"/>
    <w:rsid w:val="0001422D"/>
    <w:rsid w:val="000144A7"/>
    <w:rsid w:val="000218DB"/>
    <w:rsid w:val="00095FC8"/>
    <w:rsid w:val="000F5EC9"/>
    <w:rsid w:val="00134B49"/>
    <w:rsid w:val="00183797"/>
    <w:rsid w:val="001B340C"/>
    <w:rsid w:val="001C1B0B"/>
    <w:rsid w:val="001E0F7C"/>
    <w:rsid w:val="001E4F7E"/>
    <w:rsid w:val="002051B3"/>
    <w:rsid w:val="00237B2C"/>
    <w:rsid w:val="00237DE4"/>
    <w:rsid w:val="00266AFD"/>
    <w:rsid w:val="00273ADC"/>
    <w:rsid w:val="002E7116"/>
    <w:rsid w:val="00370872"/>
    <w:rsid w:val="003A44E9"/>
    <w:rsid w:val="003B1FFB"/>
    <w:rsid w:val="0040075D"/>
    <w:rsid w:val="00406E63"/>
    <w:rsid w:val="00461526"/>
    <w:rsid w:val="004D0CDE"/>
    <w:rsid w:val="004E70F5"/>
    <w:rsid w:val="00502CDC"/>
    <w:rsid w:val="00515D78"/>
    <w:rsid w:val="00542D58"/>
    <w:rsid w:val="005564D4"/>
    <w:rsid w:val="00583764"/>
    <w:rsid w:val="0059503C"/>
    <w:rsid w:val="00596DB1"/>
    <w:rsid w:val="005B2136"/>
    <w:rsid w:val="005B5A90"/>
    <w:rsid w:val="005C136D"/>
    <w:rsid w:val="005D5A76"/>
    <w:rsid w:val="005F6FCF"/>
    <w:rsid w:val="005F73D6"/>
    <w:rsid w:val="0065372F"/>
    <w:rsid w:val="006542B5"/>
    <w:rsid w:val="006B40E1"/>
    <w:rsid w:val="006D78F5"/>
    <w:rsid w:val="006E6315"/>
    <w:rsid w:val="006E6A06"/>
    <w:rsid w:val="006E718F"/>
    <w:rsid w:val="007214EE"/>
    <w:rsid w:val="00735D33"/>
    <w:rsid w:val="0076008E"/>
    <w:rsid w:val="0079265B"/>
    <w:rsid w:val="007C6E28"/>
    <w:rsid w:val="007D490C"/>
    <w:rsid w:val="007F7698"/>
    <w:rsid w:val="0080091B"/>
    <w:rsid w:val="00815E87"/>
    <w:rsid w:val="008301D8"/>
    <w:rsid w:val="00867ADF"/>
    <w:rsid w:val="00884CBC"/>
    <w:rsid w:val="00884D90"/>
    <w:rsid w:val="008854D1"/>
    <w:rsid w:val="008A28B9"/>
    <w:rsid w:val="008C1301"/>
    <w:rsid w:val="008D2E1E"/>
    <w:rsid w:val="008E2462"/>
    <w:rsid w:val="00900114"/>
    <w:rsid w:val="00922C18"/>
    <w:rsid w:val="009668C8"/>
    <w:rsid w:val="009737B0"/>
    <w:rsid w:val="009A1A13"/>
    <w:rsid w:val="009C640D"/>
    <w:rsid w:val="00A017BE"/>
    <w:rsid w:val="00A149E8"/>
    <w:rsid w:val="00A205C2"/>
    <w:rsid w:val="00A46A09"/>
    <w:rsid w:val="00A535B0"/>
    <w:rsid w:val="00A6541C"/>
    <w:rsid w:val="00A6618B"/>
    <w:rsid w:val="00A66F6D"/>
    <w:rsid w:val="00A75988"/>
    <w:rsid w:val="00A84878"/>
    <w:rsid w:val="00AB25ED"/>
    <w:rsid w:val="00AD6EF1"/>
    <w:rsid w:val="00AE215F"/>
    <w:rsid w:val="00B32E28"/>
    <w:rsid w:val="00B80519"/>
    <w:rsid w:val="00C02C87"/>
    <w:rsid w:val="00C16C48"/>
    <w:rsid w:val="00C36521"/>
    <w:rsid w:val="00C47B70"/>
    <w:rsid w:val="00C521F2"/>
    <w:rsid w:val="00C57545"/>
    <w:rsid w:val="00C756DB"/>
    <w:rsid w:val="00C918AC"/>
    <w:rsid w:val="00CA6239"/>
    <w:rsid w:val="00CD1D42"/>
    <w:rsid w:val="00D16248"/>
    <w:rsid w:val="00D226BE"/>
    <w:rsid w:val="00D363CF"/>
    <w:rsid w:val="00D451AB"/>
    <w:rsid w:val="00D70BBB"/>
    <w:rsid w:val="00D82789"/>
    <w:rsid w:val="00D94E16"/>
    <w:rsid w:val="00DD41EF"/>
    <w:rsid w:val="00DF660C"/>
    <w:rsid w:val="00E32A23"/>
    <w:rsid w:val="00E75852"/>
    <w:rsid w:val="00EB587A"/>
    <w:rsid w:val="00ED3A29"/>
    <w:rsid w:val="00EF6373"/>
    <w:rsid w:val="00F10BCD"/>
    <w:rsid w:val="00F3298A"/>
    <w:rsid w:val="00F473E5"/>
    <w:rsid w:val="00F4788E"/>
    <w:rsid w:val="00F776F0"/>
    <w:rsid w:val="00FD0BC1"/>
    <w:rsid w:val="00FD5DF4"/>
    <w:rsid w:val="00FD5E7B"/>
    <w:rsid w:val="3BB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6B5E"/>
  <w15:docId w15:val="{C39D1CC1-F914-48C0-B1D0-26D6FCC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E3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32A2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E32A23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2A23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sid w:val="00E32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887A0-CD5B-4AB4-A1A8-913EF16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彭浩</cp:lastModifiedBy>
  <cp:revision>36</cp:revision>
  <cp:lastPrinted>2022-04-01T01:53:00Z</cp:lastPrinted>
  <dcterms:created xsi:type="dcterms:W3CDTF">2021-03-08T03:12:00Z</dcterms:created>
  <dcterms:modified xsi:type="dcterms:W3CDTF">2022-04-01T03:22:00Z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